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D417C" w:rsidRPr="00661220" w:rsidRDefault="00327940" w:rsidP="00EB37D4">
      <w:pPr>
        <w:rPr>
          <w:sz w:val="24"/>
          <w:szCs w:val="24"/>
        </w:rPr>
      </w:pPr>
      <w:r w:rsidRPr="0064031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-195580</wp:posOffset>
                </wp:positionV>
                <wp:extent cx="6657340" cy="19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734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F0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9pt;margin-top:-15.4pt;width:524.2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AlKwIAAEo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" strokeweight="2.25pt"/>
            </w:pict>
          </mc:Fallback>
        </mc:AlternateContent>
      </w:r>
      <w:r w:rsidR="00FF7C68" w:rsidRPr="00FF7C68">
        <w:rPr>
          <w:b/>
          <w:sz w:val="24"/>
          <w:szCs w:val="24"/>
          <w:u w:val="single"/>
        </w:rPr>
        <w:t>Purpose</w:t>
      </w:r>
    </w:p>
    <w:p w:rsidR="00FF7C68" w:rsidRDefault="00FF7C68" w:rsidP="00EB37D4"/>
    <w:p w:rsidR="00FF7C68" w:rsidRDefault="00FF7C68" w:rsidP="00EB37D4">
      <w:pPr>
        <w:rPr>
          <w:sz w:val="24"/>
          <w:szCs w:val="24"/>
        </w:rPr>
      </w:pPr>
      <w:r w:rsidRPr="00FF7C68">
        <w:rPr>
          <w:sz w:val="24"/>
          <w:szCs w:val="24"/>
        </w:rPr>
        <w:t>To provide guidelines for affiliates and vendors who wish to ship tangible goods to the U.S.</w:t>
      </w:r>
    </w:p>
    <w:p w:rsidR="00FF7C68" w:rsidRDefault="00FF7C68" w:rsidP="00EB37D4">
      <w:pPr>
        <w:rPr>
          <w:sz w:val="24"/>
          <w:szCs w:val="24"/>
        </w:rPr>
      </w:pPr>
    </w:p>
    <w:p w:rsidR="00FF7C68" w:rsidRPr="00661220" w:rsidRDefault="00FF7C68" w:rsidP="00EB37D4">
      <w:pPr>
        <w:rPr>
          <w:b/>
          <w:sz w:val="24"/>
          <w:szCs w:val="24"/>
          <w:u w:val="single"/>
        </w:rPr>
      </w:pPr>
      <w:r w:rsidRPr="00661220">
        <w:rPr>
          <w:b/>
          <w:sz w:val="24"/>
          <w:szCs w:val="24"/>
          <w:u w:val="single"/>
        </w:rPr>
        <w:t>Procedure</w:t>
      </w:r>
    </w:p>
    <w:p w:rsidR="00FF7C68" w:rsidRDefault="00FF7C68" w:rsidP="00EB37D4">
      <w:pPr>
        <w:rPr>
          <w:sz w:val="24"/>
          <w:szCs w:val="24"/>
        </w:rPr>
      </w:pPr>
    </w:p>
    <w:p w:rsidR="00FF7C68" w:rsidRDefault="00FF7C68" w:rsidP="00FF7C68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Pre-shipment notification: Prior to shipment</w:t>
      </w:r>
      <w:r w:rsidRPr="00FF7C68">
        <w:rPr>
          <w:sz w:val="24"/>
          <w:szCs w:val="24"/>
        </w:rPr>
        <w:t>, shippers must transmit by e-mail an advance copy of the commercial invoice and shipment details for review and receive approval from Betina Waldenberger-Azar</w:t>
      </w:r>
      <w:r>
        <w:rPr>
          <w:sz w:val="24"/>
          <w:szCs w:val="24"/>
        </w:rPr>
        <w:t>:</w:t>
      </w:r>
    </w:p>
    <w:p w:rsidR="00FF7C68" w:rsidRPr="0045507F" w:rsidRDefault="00FF7C68" w:rsidP="00FF7C68">
      <w:pPr>
        <w:spacing w:after="30"/>
        <w:ind w:left="720"/>
        <w:rPr>
          <w:rFonts w:ascii="Verdana" w:hAnsi="Verdana"/>
        </w:rPr>
      </w:pPr>
      <w:r w:rsidRPr="0045507F">
        <w:rPr>
          <w:rFonts w:ascii="Calibri" w:hAnsi="Calibri"/>
          <w:b/>
          <w:bCs/>
          <w:sz w:val="24"/>
          <w:szCs w:val="24"/>
          <w:u w:val="single"/>
        </w:rPr>
        <w:t>Transmit invoice and shipment detail to:</w:t>
      </w:r>
    </w:p>
    <w:p w:rsidR="00FF7C68" w:rsidRPr="0045507F" w:rsidRDefault="00FF7C68" w:rsidP="00FF7C68">
      <w:pPr>
        <w:spacing w:after="30"/>
        <w:ind w:left="720"/>
        <w:rPr>
          <w:rFonts w:ascii="Verdana" w:hAnsi="Verdana"/>
        </w:rPr>
      </w:pPr>
      <w:r w:rsidRPr="0045507F">
        <w:rPr>
          <w:rFonts w:ascii="Calibri" w:hAnsi="Calibri"/>
          <w:i/>
          <w:iCs/>
          <w:sz w:val="24"/>
          <w:szCs w:val="24"/>
        </w:rPr>
        <w:t xml:space="preserve">                 </w:t>
      </w:r>
      <w:r w:rsidRPr="0045507F">
        <w:rPr>
          <w:rFonts w:ascii="Calibri" w:hAnsi="Calibri"/>
          <w:sz w:val="24"/>
          <w:szCs w:val="24"/>
        </w:rPr>
        <w:t>  Access Business Group International LLC</w:t>
      </w:r>
    </w:p>
    <w:p w:rsidR="00FF7C68" w:rsidRPr="0045507F" w:rsidRDefault="00FF7C68" w:rsidP="00FF7C68">
      <w:pPr>
        <w:spacing w:after="30"/>
        <w:ind w:left="720"/>
        <w:rPr>
          <w:rFonts w:ascii="Verdana" w:hAnsi="Verdana"/>
        </w:rPr>
      </w:pPr>
      <w:r w:rsidRPr="0045507F">
        <w:rPr>
          <w:rFonts w:ascii="Calibri" w:hAnsi="Calibri"/>
          <w:sz w:val="24"/>
          <w:szCs w:val="24"/>
        </w:rPr>
        <w:t>                   Global Trade Operations Dept.</w:t>
      </w:r>
    </w:p>
    <w:p w:rsidR="00FF7C68" w:rsidRPr="0045507F" w:rsidRDefault="00FF7C68" w:rsidP="00FF7C68">
      <w:pPr>
        <w:spacing w:after="30"/>
        <w:ind w:left="720"/>
        <w:rPr>
          <w:rFonts w:ascii="Verdana" w:hAnsi="Verdana"/>
        </w:rPr>
      </w:pPr>
      <w:r w:rsidRPr="0045507F">
        <w:rPr>
          <w:rFonts w:ascii="Calibri" w:hAnsi="Calibri"/>
          <w:sz w:val="24"/>
          <w:szCs w:val="24"/>
        </w:rPr>
        <w:t xml:space="preserve">                   Attn:  </w:t>
      </w:r>
      <w:r>
        <w:rPr>
          <w:rFonts w:ascii="Calibri" w:hAnsi="Calibri"/>
          <w:sz w:val="24"/>
          <w:szCs w:val="24"/>
        </w:rPr>
        <w:t>Betina Waldenberger-Azar 55-1H</w:t>
      </w:r>
    </w:p>
    <w:p w:rsidR="00FF7C68" w:rsidRPr="0045507F" w:rsidRDefault="00FF7C68" w:rsidP="00FF7C68">
      <w:pPr>
        <w:spacing w:after="30"/>
        <w:ind w:left="720"/>
        <w:rPr>
          <w:rFonts w:ascii="Verdana" w:hAnsi="Verdana"/>
        </w:rPr>
      </w:pPr>
      <w:r w:rsidRPr="0045507F">
        <w:rPr>
          <w:rFonts w:ascii="Calibri" w:hAnsi="Calibri"/>
          <w:sz w:val="24"/>
          <w:szCs w:val="24"/>
        </w:rPr>
        <w:t>                   Telephone No. 616.787.</w:t>
      </w:r>
      <w:r>
        <w:rPr>
          <w:rFonts w:ascii="Calibri" w:hAnsi="Calibri"/>
          <w:sz w:val="24"/>
          <w:szCs w:val="24"/>
        </w:rPr>
        <w:t>6220</w:t>
      </w:r>
    </w:p>
    <w:p w:rsidR="00FF7C68" w:rsidRDefault="00FF7C68" w:rsidP="00FF7C68">
      <w:pPr>
        <w:spacing w:after="30"/>
        <w:ind w:left="720"/>
        <w:rPr>
          <w:rStyle w:val="Hyperlink"/>
          <w:rFonts w:ascii="Calibri" w:hAnsi="Calibri"/>
          <w:sz w:val="24"/>
          <w:szCs w:val="24"/>
        </w:rPr>
      </w:pPr>
      <w:r w:rsidRPr="0045507F">
        <w:rPr>
          <w:rFonts w:ascii="Calibri" w:hAnsi="Calibri"/>
          <w:sz w:val="24"/>
          <w:szCs w:val="24"/>
        </w:rPr>
        <w:t xml:space="preserve">                   Email:  </w:t>
      </w:r>
      <w:hyperlink r:id="rId8" w:history="1">
        <w:r w:rsidRPr="008774CC">
          <w:rPr>
            <w:rStyle w:val="Hyperlink"/>
            <w:rFonts w:ascii="Calibri" w:hAnsi="Calibri"/>
            <w:sz w:val="24"/>
            <w:szCs w:val="24"/>
          </w:rPr>
          <w:t>betina.waldenberger-azar@expeditors.com</w:t>
        </w:r>
      </w:hyperlink>
    </w:p>
    <w:p w:rsidR="00FF7C68" w:rsidRDefault="00FF7C68" w:rsidP="00FF7C68">
      <w:pPr>
        <w:spacing w:after="30"/>
        <w:rPr>
          <w:rStyle w:val="Hyperlink"/>
          <w:rFonts w:ascii="Calibri" w:hAnsi="Calibri"/>
          <w:sz w:val="24"/>
          <w:szCs w:val="24"/>
        </w:rPr>
      </w:pPr>
    </w:p>
    <w:p w:rsidR="00FF7C68" w:rsidRPr="00FF7C68" w:rsidRDefault="00FF7C68" w:rsidP="00FF7C68">
      <w:pPr>
        <w:numPr>
          <w:ilvl w:val="0"/>
          <w:numId w:val="11"/>
        </w:numPr>
        <w:spacing w:after="30"/>
        <w:rPr>
          <w:rStyle w:val="Hyperlink"/>
          <w:color w:val="auto"/>
          <w:sz w:val="24"/>
          <w:szCs w:val="24"/>
          <w:u w:val="none"/>
        </w:rPr>
      </w:pPr>
      <w:r w:rsidRPr="00FF7C68">
        <w:rPr>
          <w:rStyle w:val="Hyperlink"/>
          <w:color w:val="auto"/>
          <w:sz w:val="24"/>
          <w:szCs w:val="24"/>
          <w:u w:val="none"/>
        </w:rPr>
        <w:t>Invoice Requirements:</w:t>
      </w:r>
    </w:p>
    <w:p w:rsidR="00FF7C68" w:rsidRPr="00FF7C68" w:rsidRDefault="00FF7C68" w:rsidP="00FF7C68">
      <w:pPr>
        <w:numPr>
          <w:ilvl w:val="1"/>
          <w:numId w:val="11"/>
        </w:numPr>
      </w:pPr>
      <w:r w:rsidRPr="00FF7C68">
        <w:rPr>
          <w:sz w:val="24"/>
          <w:szCs w:val="24"/>
        </w:rPr>
        <w:t>Name &amp; address of vendor (specifically when invoice is issued by a US vendor)</w:t>
      </w:r>
    </w:p>
    <w:p w:rsidR="00FF7C68" w:rsidRPr="00FF7C68" w:rsidRDefault="00FF7C68" w:rsidP="00FF7C68">
      <w:pPr>
        <w:numPr>
          <w:ilvl w:val="1"/>
          <w:numId w:val="11"/>
        </w:numPr>
      </w:pPr>
      <w:r w:rsidRPr="00FF7C68">
        <w:rPr>
          <w:sz w:val="24"/>
          <w:szCs w:val="24"/>
        </w:rPr>
        <w:t xml:space="preserve">SKU/ABG Part Number </w:t>
      </w:r>
    </w:p>
    <w:p w:rsidR="00FF7C68" w:rsidRPr="00FF7C68" w:rsidRDefault="00FF7C68" w:rsidP="00FF7C68">
      <w:pPr>
        <w:numPr>
          <w:ilvl w:val="1"/>
          <w:numId w:val="11"/>
        </w:numPr>
      </w:pPr>
      <w:r w:rsidRPr="00FF7C68">
        <w:rPr>
          <w:sz w:val="24"/>
          <w:szCs w:val="24"/>
        </w:rPr>
        <w:t>Country of Origin/Manufacture</w:t>
      </w:r>
    </w:p>
    <w:p w:rsidR="00FF7C68" w:rsidRPr="00FF7C68" w:rsidRDefault="00FF7C68" w:rsidP="00FF7C68">
      <w:pPr>
        <w:numPr>
          <w:ilvl w:val="1"/>
          <w:numId w:val="11"/>
        </w:numPr>
      </w:pPr>
      <w:r w:rsidRPr="00FF7C68">
        <w:rPr>
          <w:sz w:val="24"/>
          <w:szCs w:val="24"/>
        </w:rPr>
        <w:t xml:space="preserve">Currency of the transaction </w:t>
      </w:r>
    </w:p>
    <w:p w:rsidR="00FF7C68" w:rsidRDefault="00FF7C68" w:rsidP="00FF7C68">
      <w:pPr>
        <w:numPr>
          <w:ilvl w:val="1"/>
          <w:numId w:val="11"/>
        </w:numPr>
      </w:pPr>
      <w:r w:rsidRPr="00FF7C68">
        <w:rPr>
          <w:sz w:val="24"/>
          <w:szCs w:val="24"/>
        </w:rPr>
        <w:t>Terms of sale</w:t>
      </w:r>
    </w:p>
    <w:p w:rsidR="00FF7C68" w:rsidRPr="00FF7C68" w:rsidRDefault="00FF7C68" w:rsidP="00FF7C68">
      <w:pPr>
        <w:numPr>
          <w:ilvl w:val="1"/>
          <w:numId w:val="11"/>
        </w:numPr>
      </w:pPr>
      <w:r w:rsidRPr="00FF7C68">
        <w:rPr>
          <w:sz w:val="24"/>
          <w:szCs w:val="24"/>
        </w:rPr>
        <w:t xml:space="preserve">Name and address of the manufacturer if </w:t>
      </w:r>
      <w:r w:rsidR="00B05A6F">
        <w:rPr>
          <w:i/>
          <w:iCs/>
          <w:sz w:val="24"/>
          <w:szCs w:val="24"/>
        </w:rPr>
        <w:t>Cosmetic, Personal Care and Textile Items</w:t>
      </w:r>
    </w:p>
    <w:p w:rsidR="009E554D" w:rsidRDefault="00FF7C68" w:rsidP="009E554D">
      <w:pPr>
        <w:numPr>
          <w:ilvl w:val="1"/>
          <w:numId w:val="11"/>
        </w:numPr>
      </w:pPr>
      <w:r w:rsidRPr="00FF7C68">
        <w:rPr>
          <w:sz w:val="24"/>
          <w:szCs w:val="24"/>
        </w:rPr>
        <w:t>Include clause "No charge. Value for US Customs purposes only."</w:t>
      </w:r>
    </w:p>
    <w:p w:rsidR="00FF7C68" w:rsidRPr="00FF7C68" w:rsidRDefault="009E554D" w:rsidP="009E554D">
      <w:pPr>
        <w:numPr>
          <w:ilvl w:val="1"/>
          <w:numId w:val="11"/>
        </w:numPr>
      </w:pPr>
      <w:r w:rsidRPr="009E554D">
        <w:rPr>
          <w:sz w:val="24"/>
          <w:szCs w:val="24"/>
        </w:rPr>
        <w:t>If shipment is for research purposes, include clause "Quality Assurance research and not for use on humans or animals and not for resale.</w:t>
      </w:r>
    </w:p>
    <w:p w:rsidR="00FF7C68" w:rsidRPr="00FF7C68" w:rsidRDefault="00FF7C68" w:rsidP="00FF7C68">
      <w:pPr>
        <w:ind w:left="1230"/>
      </w:pPr>
      <w:r w:rsidRPr="00FF7C68">
        <w:rPr>
          <w:b/>
          <w:bCs/>
          <w:sz w:val="24"/>
          <w:szCs w:val="24"/>
        </w:rPr>
        <w:t xml:space="preserve">*Food Items: </w:t>
      </w:r>
      <w:r w:rsidRPr="00FF7C68">
        <w:rPr>
          <w:sz w:val="24"/>
          <w:szCs w:val="24"/>
        </w:rPr>
        <w:t> </w:t>
      </w:r>
    </w:p>
    <w:p w:rsidR="00FF7C68" w:rsidRPr="00FF7C68" w:rsidRDefault="00FF7C68" w:rsidP="00FF7C68">
      <w:pPr>
        <w:numPr>
          <w:ilvl w:val="1"/>
          <w:numId w:val="11"/>
        </w:numPr>
      </w:pPr>
      <w:r w:rsidRPr="00FF7C68">
        <w:rPr>
          <w:sz w:val="24"/>
          <w:szCs w:val="24"/>
        </w:rPr>
        <w:t xml:space="preserve">Name and address of the manufacturer.  </w:t>
      </w:r>
    </w:p>
    <w:p w:rsidR="00FF7C68" w:rsidRPr="00FF7C68" w:rsidRDefault="00FF7C68" w:rsidP="00A3142A">
      <w:pPr>
        <w:ind w:left="1440" w:firstLine="30"/>
      </w:pPr>
      <w:r w:rsidRPr="00FF7C68">
        <w:rPr>
          <w:sz w:val="24"/>
          <w:szCs w:val="24"/>
        </w:rPr>
        <w:t xml:space="preserve">FDA Registration number of the manufacture, shipper and receiver.  </w:t>
      </w:r>
      <w:r w:rsidR="00A3142A">
        <w:rPr>
          <w:sz w:val="24"/>
          <w:szCs w:val="24"/>
        </w:rPr>
        <w:t xml:space="preserve">It is the responsibility of the </w:t>
      </w:r>
      <w:r w:rsidR="00A3142A" w:rsidRPr="00A3142A">
        <w:rPr>
          <w:b/>
          <w:sz w:val="24"/>
          <w:szCs w:val="24"/>
        </w:rPr>
        <w:t xml:space="preserve">shipper </w:t>
      </w:r>
      <w:r w:rsidR="00A3142A">
        <w:rPr>
          <w:sz w:val="24"/>
          <w:szCs w:val="24"/>
        </w:rPr>
        <w:t>to research and provide this information.</w:t>
      </w:r>
    </w:p>
    <w:p w:rsidR="00E53233" w:rsidRPr="00661220" w:rsidRDefault="00E53233" w:rsidP="00FF7C68">
      <w:pPr>
        <w:numPr>
          <w:ilvl w:val="1"/>
          <w:numId w:val="11"/>
        </w:numPr>
      </w:pPr>
      <w:r>
        <w:rPr>
          <w:iCs/>
          <w:sz w:val="24"/>
          <w:szCs w:val="24"/>
        </w:rPr>
        <w:t>Some commodities may require additional FDA information (toothbrushes and sunscreen are a few examples)</w:t>
      </w:r>
    </w:p>
    <w:p w:rsidR="00661220" w:rsidRDefault="00661220" w:rsidP="00661220">
      <w:pPr>
        <w:rPr>
          <w:i/>
          <w:iCs/>
          <w:sz w:val="24"/>
          <w:szCs w:val="24"/>
        </w:rPr>
      </w:pPr>
    </w:p>
    <w:p w:rsidR="00661220" w:rsidRPr="00661220" w:rsidRDefault="00661220" w:rsidP="00661220">
      <w:pPr>
        <w:numPr>
          <w:ilvl w:val="0"/>
          <w:numId w:val="11"/>
        </w:numPr>
        <w:rPr>
          <w:sz w:val="24"/>
          <w:szCs w:val="24"/>
        </w:rPr>
      </w:pPr>
      <w:r w:rsidRPr="00661220">
        <w:rPr>
          <w:sz w:val="24"/>
          <w:szCs w:val="24"/>
        </w:rPr>
        <w:t>After all requirements</w:t>
      </w:r>
      <w:r>
        <w:rPr>
          <w:sz w:val="24"/>
          <w:szCs w:val="24"/>
        </w:rPr>
        <w:t xml:space="preserve"> have been met, Betina will e-mail</w:t>
      </w:r>
      <w:r w:rsidRPr="00661220">
        <w:rPr>
          <w:sz w:val="24"/>
          <w:szCs w:val="24"/>
        </w:rPr>
        <w:t xml:space="preserve"> approval and instructions on how to ship the item(s) and what documents need to be accompanied with the shipment.</w:t>
      </w:r>
    </w:p>
    <w:p w:rsidR="00FF7C68" w:rsidRDefault="00FF7C68" w:rsidP="00661220">
      <w:pPr>
        <w:rPr>
          <w:sz w:val="24"/>
          <w:szCs w:val="24"/>
        </w:rPr>
      </w:pPr>
    </w:p>
    <w:p w:rsidR="00661220" w:rsidRDefault="00661220" w:rsidP="00661220">
      <w:pPr>
        <w:rPr>
          <w:sz w:val="24"/>
          <w:szCs w:val="24"/>
        </w:rPr>
      </w:pPr>
    </w:p>
    <w:p w:rsidR="00D52292" w:rsidRDefault="00D52292" w:rsidP="00661220">
      <w:pPr>
        <w:rPr>
          <w:sz w:val="24"/>
          <w:szCs w:val="24"/>
        </w:rPr>
      </w:pPr>
    </w:p>
    <w:p w:rsidR="00661220" w:rsidRDefault="00661220" w:rsidP="00661220">
      <w:pPr>
        <w:rPr>
          <w:sz w:val="24"/>
          <w:szCs w:val="24"/>
        </w:rPr>
      </w:pPr>
    </w:p>
    <w:p w:rsidR="00661220" w:rsidRDefault="00661220" w:rsidP="00661220">
      <w:pPr>
        <w:rPr>
          <w:b/>
          <w:sz w:val="24"/>
          <w:szCs w:val="24"/>
          <w:u w:val="single"/>
        </w:rPr>
      </w:pPr>
      <w:r w:rsidRPr="00661220">
        <w:rPr>
          <w:b/>
          <w:sz w:val="24"/>
          <w:szCs w:val="24"/>
          <w:u w:val="single"/>
        </w:rPr>
        <w:t>Policy Guidelines</w:t>
      </w:r>
    </w:p>
    <w:p w:rsidR="00661220" w:rsidRDefault="00661220" w:rsidP="00661220">
      <w:pPr>
        <w:rPr>
          <w:b/>
          <w:sz w:val="24"/>
          <w:szCs w:val="24"/>
          <w:u w:val="single"/>
        </w:rPr>
      </w:pPr>
    </w:p>
    <w:p w:rsidR="00661220" w:rsidRDefault="00661220" w:rsidP="00661220">
      <w:pPr>
        <w:rPr>
          <w:sz w:val="24"/>
          <w:szCs w:val="24"/>
        </w:rPr>
      </w:pPr>
      <w:r w:rsidRPr="00661220">
        <w:rPr>
          <w:sz w:val="24"/>
          <w:szCs w:val="24"/>
        </w:rPr>
        <w:t>Approved freight forwarders and carriers</w:t>
      </w:r>
    </w:p>
    <w:p w:rsidR="00661220" w:rsidRDefault="00661220" w:rsidP="00661220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UPS (shipments under 50 lbs / 22.7 kgs)</w:t>
      </w:r>
    </w:p>
    <w:p w:rsidR="00661220" w:rsidRDefault="00661220" w:rsidP="00661220">
      <w:pPr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Expeditors (shipments over 50 lbs / 22.7 kgs)</w:t>
      </w:r>
    </w:p>
    <w:p w:rsidR="00661220" w:rsidRDefault="00661220" w:rsidP="00661220">
      <w:pPr>
        <w:rPr>
          <w:sz w:val="24"/>
          <w:szCs w:val="24"/>
        </w:rPr>
      </w:pPr>
    </w:p>
    <w:p w:rsidR="00661220" w:rsidRDefault="00D52292" w:rsidP="00661220">
      <w:pPr>
        <w:rPr>
          <w:sz w:val="24"/>
          <w:szCs w:val="24"/>
        </w:rPr>
      </w:pPr>
      <w:r>
        <w:rPr>
          <w:sz w:val="24"/>
          <w:szCs w:val="24"/>
        </w:rPr>
        <w:t>Approved Inco</w:t>
      </w:r>
      <w:r w:rsidR="00661220">
        <w:rPr>
          <w:sz w:val="24"/>
          <w:szCs w:val="24"/>
        </w:rPr>
        <w:t>terms</w:t>
      </w:r>
    </w:p>
    <w:p w:rsidR="00661220" w:rsidRDefault="00661220" w:rsidP="0066122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FOB</w:t>
      </w:r>
    </w:p>
    <w:p w:rsidR="00661220" w:rsidRDefault="00661220" w:rsidP="0066122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FCA Port of Export</w:t>
      </w:r>
    </w:p>
    <w:p w:rsidR="00661220" w:rsidRDefault="00661220" w:rsidP="00661220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DDP Destination</w:t>
      </w:r>
      <w:r w:rsidR="00D62B32">
        <w:rPr>
          <w:sz w:val="24"/>
          <w:szCs w:val="24"/>
        </w:rPr>
        <w:t xml:space="preserve"> (</w:t>
      </w:r>
      <w:r w:rsidR="00D62B32">
        <w:rPr>
          <w:b/>
          <w:sz w:val="24"/>
          <w:szCs w:val="24"/>
        </w:rPr>
        <w:t>Note: supplier/shipper will be required to perform U.S. customs clearance)</w:t>
      </w:r>
    </w:p>
    <w:p w:rsidR="00661220" w:rsidRDefault="00661220" w:rsidP="00661220">
      <w:pPr>
        <w:rPr>
          <w:sz w:val="24"/>
          <w:szCs w:val="24"/>
        </w:rPr>
      </w:pPr>
    </w:p>
    <w:p w:rsidR="00661220" w:rsidRDefault="00661220" w:rsidP="00661220">
      <w:pPr>
        <w:rPr>
          <w:sz w:val="24"/>
          <w:szCs w:val="24"/>
        </w:rPr>
      </w:pPr>
      <w:r>
        <w:rPr>
          <w:sz w:val="24"/>
          <w:szCs w:val="24"/>
        </w:rPr>
        <w:t xml:space="preserve">ABG will </w:t>
      </w:r>
      <w:r w:rsidR="00D52292" w:rsidRPr="00D52292">
        <w:rPr>
          <w:color w:val="FF0000"/>
          <w:sz w:val="24"/>
          <w:szCs w:val="24"/>
        </w:rPr>
        <w:t>not</w:t>
      </w:r>
      <w:r w:rsidR="00D52292">
        <w:rPr>
          <w:sz w:val="24"/>
          <w:szCs w:val="24"/>
        </w:rPr>
        <w:t xml:space="preserve"> act as importer of record for any other incoterms</w:t>
      </w:r>
    </w:p>
    <w:p w:rsidR="00661220" w:rsidRDefault="00661220" w:rsidP="00661220">
      <w:pPr>
        <w:rPr>
          <w:sz w:val="24"/>
          <w:szCs w:val="24"/>
        </w:rPr>
      </w:pPr>
    </w:p>
    <w:p w:rsidR="00661220" w:rsidRDefault="00661220" w:rsidP="00661220">
      <w:pPr>
        <w:rPr>
          <w:sz w:val="24"/>
          <w:szCs w:val="24"/>
        </w:rPr>
      </w:pPr>
      <w:r>
        <w:rPr>
          <w:sz w:val="24"/>
          <w:szCs w:val="24"/>
        </w:rPr>
        <w:t xml:space="preserve">Due to supply chain security requirements, ABG will only accept customs and FDA cleared shipments that were handled by ABG’s approved freight forwarder, Expeditors International.  </w:t>
      </w:r>
    </w:p>
    <w:p w:rsidR="00D52292" w:rsidRDefault="00D52292" w:rsidP="00661220">
      <w:pPr>
        <w:rPr>
          <w:sz w:val="24"/>
          <w:szCs w:val="24"/>
        </w:rPr>
      </w:pPr>
    </w:p>
    <w:p w:rsidR="00D52292" w:rsidRDefault="00661220" w:rsidP="00D52292">
      <w:pPr>
        <w:rPr>
          <w:b/>
          <w:bCs/>
          <w:sz w:val="24"/>
          <w:szCs w:val="24"/>
        </w:rPr>
      </w:pPr>
      <w:r w:rsidRPr="00661220">
        <w:rPr>
          <w:b/>
          <w:bCs/>
          <w:sz w:val="24"/>
          <w:szCs w:val="24"/>
        </w:rPr>
        <w:t>Food</w:t>
      </w:r>
      <w:r w:rsidR="00D52292">
        <w:rPr>
          <w:b/>
          <w:bCs/>
          <w:sz w:val="24"/>
          <w:szCs w:val="24"/>
        </w:rPr>
        <w:t xml:space="preserve"> and O</w:t>
      </w:r>
      <w:r w:rsidR="00AF0801">
        <w:rPr>
          <w:b/>
          <w:bCs/>
          <w:sz w:val="24"/>
          <w:szCs w:val="24"/>
        </w:rPr>
        <w:t xml:space="preserve">ver </w:t>
      </w:r>
      <w:r w:rsidR="003637EF">
        <w:rPr>
          <w:b/>
          <w:bCs/>
          <w:sz w:val="24"/>
          <w:szCs w:val="24"/>
        </w:rPr>
        <w:t>t</w:t>
      </w:r>
      <w:r w:rsidR="00AF0801">
        <w:rPr>
          <w:b/>
          <w:bCs/>
          <w:sz w:val="24"/>
          <w:szCs w:val="24"/>
        </w:rPr>
        <w:t xml:space="preserve">he </w:t>
      </w:r>
      <w:r w:rsidR="00D52292">
        <w:rPr>
          <w:b/>
          <w:bCs/>
          <w:sz w:val="24"/>
          <w:szCs w:val="24"/>
        </w:rPr>
        <w:t>C</w:t>
      </w:r>
      <w:r w:rsidR="00AF0801">
        <w:rPr>
          <w:b/>
          <w:bCs/>
          <w:sz w:val="24"/>
          <w:szCs w:val="24"/>
        </w:rPr>
        <w:t>ounter</w:t>
      </w:r>
      <w:r w:rsidR="00CF4E8B">
        <w:rPr>
          <w:b/>
          <w:bCs/>
          <w:sz w:val="24"/>
          <w:szCs w:val="24"/>
        </w:rPr>
        <w:t xml:space="preserve"> (Drug)</w:t>
      </w:r>
      <w:r w:rsidRPr="00661220">
        <w:rPr>
          <w:b/>
          <w:bCs/>
          <w:sz w:val="24"/>
          <w:szCs w:val="24"/>
        </w:rPr>
        <w:t xml:space="preserve"> Import Requirements: </w:t>
      </w:r>
    </w:p>
    <w:p w:rsidR="00D52292" w:rsidRPr="0078048F" w:rsidRDefault="00D52292" w:rsidP="00D52292">
      <w:pPr>
        <w:pStyle w:val="ListParagraph"/>
        <w:numPr>
          <w:ilvl w:val="0"/>
          <w:numId w:val="16"/>
        </w:numPr>
      </w:pPr>
      <w:r w:rsidRPr="00D52292">
        <w:rPr>
          <w:iCs/>
          <w:sz w:val="24"/>
          <w:szCs w:val="24"/>
        </w:rPr>
        <w:t xml:space="preserve">FDA Prior Notice must be completed prior to shipping </w:t>
      </w:r>
    </w:p>
    <w:p w:rsidR="0078048F" w:rsidRPr="0078048F" w:rsidRDefault="0078048F" w:rsidP="0078048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8048F">
        <w:rPr>
          <w:sz w:val="24"/>
          <w:szCs w:val="24"/>
        </w:rPr>
        <w:t>DUNS or FEI Number</w:t>
      </w:r>
      <w:r>
        <w:rPr>
          <w:sz w:val="24"/>
          <w:szCs w:val="24"/>
        </w:rPr>
        <w:t xml:space="preserve"> must be provided for Prior Notice Filing</w:t>
      </w:r>
    </w:p>
    <w:p w:rsidR="00661220" w:rsidRDefault="00D52292" w:rsidP="00D52292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Examples of food item shipments:</w:t>
      </w:r>
    </w:p>
    <w:p w:rsidR="00D52292" w:rsidRDefault="00D52292" w:rsidP="00D52292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Bulk MTO returns for Nutrilite food supplements</w:t>
      </w:r>
    </w:p>
    <w:p w:rsidR="00D52292" w:rsidRDefault="00D52292" w:rsidP="00D52292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Samples, regardless of purpose </w:t>
      </w:r>
    </w:p>
    <w:p w:rsidR="00D52292" w:rsidRDefault="00D52292" w:rsidP="00D52292">
      <w:pPr>
        <w:pStyle w:val="ListParagraph"/>
        <w:numPr>
          <w:ilvl w:val="1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Competitive samples, regardless of purpose</w:t>
      </w:r>
    </w:p>
    <w:p w:rsidR="00E8077D" w:rsidRDefault="00E8077D" w:rsidP="00E8077D">
      <w:pPr>
        <w:rPr>
          <w:sz w:val="24"/>
          <w:szCs w:val="24"/>
        </w:rPr>
      </w:pPr>
    </w:p>
    <w:p w:rsidR="00E8077D" w:rsidRPr="00E8077D" w:rsidRDefault="00E8077D" w:rsidP="00E8077D">
      <w:pPr>
        <w:rPr>
          <w:b/>
          <w:sz w:val="24"/>
          <w:szCs w:val="24"/>
        </w:rPr>
      </w:pPr>
      <w:r w:rsidRPr="00E8077D">
        <w:rPr>
          <w:b/>
          <w:sz w:val="24"/>
          <w:szCs w:val="24"/>
        </w:rPr>
        <w:t>Dangerous Goods</w:t>
      </w:r>
    </w:p>
    <w:p w:rsidR="00E8077D" w:rsidRPr="00E8077D" w:rsidRDefault="00E8077D" w:rsidP="00E8077D">
      <w:pPr>
        <w:rPr>
          <w:sz w:val="24"/>
          <w:szCs w:val="24"/>
        </w:rPr>
      </w:pPr>
      <w:r w:rsidRPr="00E8077D">
        <w:rPr>
          <w:sz w:val="24"/>
          <w:szCs w:val="24"/>
        </w:rPr>
        <w:t xml:space="preserve">Dangerous goods </w:t>
      </w:r>
      <w:r>
        <w:rPr>
          <w:sz w:val="24"/>
          <w:szCs w:val="24"/>
        </w:rPr>
        <w:t xml:space="preserve">include, but are not limited to </w:t>
      </w:r>
      <w:r w:rsidRPr="00E8077D">
        <w:rPr>
          <w:sz w:val="24"/>
          <w:szCs w:val="24"/>
        </w:rPr>
        <w:t>flammables,</w:t>
      </w:r>
      <w:r>
        <w:rPr>
          <w:sz w:val="24"/>
          <w:szCs w:val="24"/>
        </w:rPr>
        <w:t xml:space="preserve"> </w:t>
      </w:r>
      <w:r w:rsidRPr="00E8077D">
        <w:rPr>
          <w:sz w:val="24"/>
          <w:szCs w:val="24"/>
        </w:rPr>
        <w:t>corrosives,</w:t>
      </w:r>
      <w:r>
        <w:rPr>
          <w:sz w:val="24"/>
          <w:szCs w:val="24"/>
        </w:rPr>
        <w:t xml:space="preserve"> </w:t>
      </w:r>
      <w:r w:rsidRPr="00E8077D">
        <w:rPr>
          <w:sz w:val="24"/>
          <w:szCs w:val="24"/>
        </w:rPr>
        <w:t>oxidizers,</w:t>
      </w:r>
      <w:r>
        <w:rPr>
          <w:sz w:val="24"/>
          <w:szCs w:val="24"/>
        </w:rPr>
        <w:t xml:space="preserve"> </w:t>
      </w:r>
      <w:r w:rsidRPr="00E8077D">
        <w:rPr>
          <w:sz w:val="24"/>
          <w:szCs w:val="24"/>
        </w:rPr>
        <w:t>compressed gasses and aerosol products, perfumery products and colognes, some cosmetic products, such as nail color, matches and ignitable material.</w:t>
      </w:r>
    </w:p>
    <w:p w:rsidR="00E8077D" w:rsidRPr="00E8077D" w:rsidRDefault="00E8077D" w:rsidP="00E8077D">
      <w:pPr>
        <w:rPr>
          <w:sz w:val="24"/>
          <w:szCs w:val="24"/>
        </w:rPr>
      </w:pPr>
    </w:p>
    <w:p w:rsidR="00E8077D" w:rsidRDefault="00E8077D" w:rsidP="00E8077D">
      <w:pPr>
        <w:rPr>
          <w:sz w:val="24"/>
          <w:szCs w:val="24"/>
        </w:rPr>
      </w:pPr>
      <w:r w:rsidRPr="00E8077D">
        <w:rPr>
          <w:sz w:val="24"/>
          <w:szCs w:val="24"/>
        </w:rPr>
        <w:t>Exporters must obtain information regarding proper dangerous goods shipping descriptions, as required by international regulation and provide Amway World Headquarters with notification of these prior to export.</w:t>
      </w:r>
    </w:p>
    <w:p w:rsidR="00E8077D" w:rsidRDefault="00E8077D" w:rsidP="00E8077D">
      <w:pPr>
        <w:rPr>
          <w:sz w:val="24"/>
          <w:szCs w:val="24"/>
        </w:rPr>
      </w:pPr>
    </w:p>
    <w:p w:rsidR="00E8077D" w:rsidRPr="00E8077D" w:rsidRDefault="00E8077D" w:rsidP="00E8077D">
      <w:pPr>
        <w:rPr>
          <w:sz w:val="24"/>
          <w:szCs w:val="24"/>
        </w:rPr>
      </w:pPr>
      <w:r>
        <w:rPr>
          <w:sz w:val="24"/>
          <w:szCs w:val="24"/>
        </w:rPr>
        <w:t>For shipments containing dangerous goods, please contact Jim W</w:t>
      </w:r>
      <w:r w:rsidR="0078048F">
        <w:rPr>
          <w:sz w:val="24"/>
          <w:szCs w:val="24"/>
        </w:rPr>
        <w:t>ilterink prior to shipment.</w:t>
      </w:r>
    </w:p>
    <w:p w:rsidR="00E8077D" w:rsidRPr="00E8077D" w:rsidRDefault="00E8077D" w:rsidP="00E8077D">
      <w:pPr>
        <w:rPr>
          <w:sz w:val="24"/>
          <w:szCs w:val="24"/>
        </w:rPr>
      </w:pPr>
    </w:p>
    <w:p w:rsidR="00E8077D" w:rsidRPr="00E8077D" w:rsidRDefault="00E8077D" w:rsidP="00E8077D">
      <w:pPr>
        <w:rPr>
          <w:sz w:val="24"/>
          <w:szCs w:val="24"/>
        </w:rPr>
      </w:pPr>
    </w:p>
    <w:p w:rsidR="00D52292" w:rsidRPr="00D52292" w:rsidRDefault="00D52292" w:rsidP="00D52292">
      <w:pPr>
        <w:rPr>
          <w:sz w:val="24"/>
          <w:szCs w:val="24"/>
        </w:rPr>
      </w:pPr>
    </w:p>
    <w:p w:rsidR="00661220" w:rsidRPr="00661220" w:rsidRDefault="00661220" w:rsidP="00661220">
      <w:pPr>
        <w:rPr>
          <w:b/>
          <w:sz w:val="24"/>
          <w:szCs w:val="24"/>
          <w:u w:val="single"/>
        </w:rPr>
      </w:pPr>
    </w:p>
    <w:p w:rsidR="00370D2A" w:rsidRDefault="00370D2A" w:rsidP="009B31A1">
      <w:r>
        <w:br w:type="page"/>
      </w:r>
    </w:p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Pr="00370D2A" w:rsidRDefault="00370D2A" w:rsidP="00370D2A"/>
    <w:p w:rsidR="00370D2A" w:rsidRDefault="00370D2A" w:rsidP="00370D2A"/>
    <w:p w:rsidR="00370D2A" w:rsidRDefault="00370D2A" w:rsidP="00370D2A"/>
    <w:p w:rsidR="00AD417C" w:rsidRPr="00370D2A" w:rsidRDefault="00370D2A" w:rsidP="00370D2A">
      <w:pPr>
        <w:tabs>
          <w:tab w:val="left" w:pos="5475"/>
        </w:tabs>
      </w:pPr>
      <w:r>
        <w:tab/>
      </w:r>
    </w:p>
    <w:sectPr w:rsidR="00AD417C" w:rsidRPr="00370D2A" w:rsidSect="00AD417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52" w:right="1440" w:bottom="1080" w:left="2160" w:header="720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2F7" w:rsidRDefault="005C72F7">
      <w:r>
        <w:separator/>
      </w:r>
    </w:p>
  </w:endnote>
  <w:endnote w:type="continuationSeparator" w:id="0">
    <w:p w:rsidR="005C72F7" w:rsidRDefault="005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D2A" w:rsidRDefault="00370D2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FA1">
      <w:rPr>
        <w:noProof/>
      </w:rPr>
      <w:t>3</w:t>
    </w:r>
    <w:r>
      <w:rPr>
        <w:noProof/>
      </w:rPr>
      <w:fldChar w:fldCharType="end"/>
    </w:r>
  </w:p>
  <w:p w:rsidR="00BE1736" w:rsidRPr="00370D2A" w:rsidRDefault="00BE1736" w:rsidP="00370D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176" w:rsidRDefault="00F661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FA1">
      <w:rPr>
        <w:noProof/>
      </w:rPr>
      <w:t>1</w:t>
    </w:r>
    <w:r>
      <w:rPr>
        <w:noProof/>
      </w:rPr>
      <w:fldChar w:fldCharType="end"/>
    </w:r>
  </w:p>
  <w:p w:rsidR="00F66176" w:rsidRDefault="00F66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2F7" w:rsidRDefault="005C72F7">
      <w:r>
        <w:separator/>
      </w:r>
    </w:p>
  </w:footnote>
  <w:footnote w:type="continuationSeparator" w:id="0">
    <w:p w:rsidR="005C72F7" w:rsidRDefault="005C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36" w:rsidRPr="005E2680" w:rsidRDefault="00BE1736" w:rsidP="00D76768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3" w:type="dxa"/>
      <w:tblInd w:w="-1635" w:type="dxa"/>
      <w:tblLayout w:type="fixed"/>
      <w:tblLook w:val="0000" w:firstRow="0" w:lastRow="0" w:firstColumn="0" w:lastColumn="0" w:noHBand="0" w:noVBand="0"/>
    </w:tblPr>
    <w:tblGrid>
      <w:gridCol w:w="2910"/>
      <w:gridCol w:w="5493"/>
      <w:gridCol w:w="2520"/>
    </w:tblGrid>
    <w:tr w:rsidR="00AD417C" w:rsidTr="00640317">
      <w:trPr>
        <w:trHeight w:val="1668"/>
      </w:trPr>
      <w:tc>
        <w:tcPr>
          <w:tcW w:w="2910" w:type="dxa"/>
        </w:tcPr>
        <w:p w:rsidR="00AD417C" w:rsidRPr="00A50D76" w:rsidRDefault="00327940" w:rsidP="00AD417C">
          <w:pPr>
            <w:rPr>
              <w:rFonts w:ascii="Arial" w:hAnsi="Arial" w:cs="Arial"/>
              <w:b/>
            </w:rPr>
          </w:pPr>
          <w:r w:rsidRPr="00A50D76">
            <w:rPr>
              <w:b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23495</wp:posOffset>
                </wp:positionV>
                <wp:extent cx="982980" cy="967105"/>
                <wp:effectExtent l="0" t="0" r="7620" b="4445"/>
                <wp:wrapSquare wrapText="bothSides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93" w:type="dxa"/>
        </w:tcPr>
        <w:p w:rsidR="00AD417C" w:rsidRPr="00FF7C68" w:rsidRDefault="00FF7C68" w:rsidP="00AD417C">
          <w:pPr>
            <w:pStyle w:val="Proceduretitle"/>
            <w:jc w:val="center"/>
            <w:rPr>
              <w:rFonts w:ascii="Times New Roman" w:hAnsi="Times New Roman"/>
              <w:b w:val="0"/>
              <w:sz w:val="32"/>
              <w:szCs w:val="32"/>
            </w:rPr>
          </w:pPr>
          <w:r w:rsidRPr="00FF7C68">
            <w:rPr>
              <w:rFonts w:ascii="Times New Roman" w:hAnsi="Times New Roman"/>
              <w:b w:val="0"/>
              <w:sz w:val="32"/>
              <w:szCs w:val="32"/>
            </w:rPr>
            <w:t>Shipments to the U.S.</w:t>
          </w:r>
        </w:p>
        <w:p w:rsidR="00FF7C68" w:rsidRPr="00FF7C68" w:rsidRDefault="00FF7C68" w:rsidP="00FF7C68">
          <w:pPr>
            <w:pStyle w:val="Proceduretitle"/>
            <w:jc w:val="center"/>
            <w:rPr>
              <w:rFonts w:ascii="Times New Roman" w:hAnsi="Times New Roman"/>
              <w:b w:val="0"/>
              <w:sz w:val="32"/>
              <w:szCs w:val="32"/>
            </w:rPr>
          </w:pPr>
          <w:r w:rsidRPr="00FF7C68">
            <w:rPr>
              <w:rFonts w:ascii="Times New Roman" w:hAnsi="Times New Roman"/>
              <w:b w:val="0"/>
              <w:sz w:val="32"/>
              <w:szCs w:val="32"/>
            </w:rPr>
            <w:t>Appendix 2.1</w:t>
          </w:r>
        </w:p>
        <w:p w:rsidR="00AD417C" w:rsidRDefault="00AD417C" w:rsidP="00AD417C">
          <w:pPr>
            <w:pStyle w:val="Header"/>
            <w:rPr>
              <w:b/>
            </w:rPr>
          </w:pPr>
        </w:p>
      </w:tc>
      <w:tc>
        <w:tcPr>
          <w:tcW w:w="2520" w:type="dxa"/>
        </w:tcPr>
        <w:p w:rsidR="00EB37D4" w:rsidRDefault="00EB37D4" w:rsidP="00640317">
          <w:pPr>
            <w:pStyle w:val="Header"/>
            <w:jc w:val="right"/>
          </w:pPr>
        </w:p>
        <w:p w:rsidR="00EB37D4" w:rsidRDefault="00EB37D4" w:rsidP="00640317">
          <w:pPr>
            <w:pStyle w:val="Header"/>
            <w:jc w:val="right"/>
          </w:pPr>
        </w:p>
        <w:p w:rsidR="00EB37D4" w:rsidRDefault="00EB37D4" w:rsidP="00640317">
          <w:pPr>
            <w:pStyle w:val="Header"/>
            <w:jc w:val="right"/>
          </w:pPr>
        </w:p>
        <w:p w:rsidR="00AD417C" w:rsidRDefault="00AD417C" w:rsidP="003564A7">
          <w:pPr>
            <w:pStyle w:val="Header"/>
            <w:jc w:val="right"/>
          </w:pPr>
        </w:p>
      </w:tc>
    </w:tr>
  </w:tbl>
  <w:p w:rsidR="00A50D76" w:rsidRDefault="00A50D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3C5504"/>
    <w:multiLevelType w:val="hybridMultilevel"/>
    <w:tmpl w:val="634E2ACC"/>
    <w:lvl w:ilvl="0" w:tplc="A8789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9873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D67284"/>
    <w:multiLevelType w:val="multilevel"/>
    <w:tmpl w:val="A0D0DF3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2610"/>
        </w:tabs>
        <w:ind w:left="261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9B0732D"/>
    <w:multiLevelType w:val="multilevel"/>
    <w:tmpl w:val="AC2CA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C14227"/>
    <w:multiLevelType w:val="multilevel"/>
    <w:tmpl w:val="AB5A2D2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19D098C"/>
    <w:multiLevelType w:val="hybridMultilevel"/>
    <w:tmpl w:val="E10E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2C124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52596"/>
    <w:multiLevelType w:val="hybridMultilevel"/>
    <w:tmpl w:val="7B3C24D2"/>
    <w:lvl w:ilvl="0" w:tplc="DF987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81FF8"/>
    <w:multiLevelType w:val="hybridMultilevel"/>
    <w:tmpl w:val="3146B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D937B3"/>
    <w:multiLevelType w:val="hybridMultilevel"/>
    <w:tmpl w:val="031A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3F81"/>
    <w:multiLevelType w:val="hybridMultilevel"/>
    <w:tmpl w:val="BE88DD8C"/>
    <w:lvl w:ilvl="0" w:tplc="6234BE7A">
      <w:start w:val="9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481C"/>
    <w:multiLevelType w:val="multilevel"/>
    <w:tmpl w:val="571E752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B5494"/>
    <w:multiLevelType w:val="hybridMultilevel"/>
    <w:tmpl w:val="C62A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C7961"/>
    <w:multiLevelType w:val="multilevel"/>
    <w:tmpl w:val="78F012CC"/>
    <w:lvl w:ilvl="0">
      <w:start w:val="1"/>
      <w:numFmt w:val="decimal"/>
      <w:lvlText w:val="%1.0"/>
      <w:lvlJc w:val="left"/>
      <w:pPr>
        <w:tabs>
          <w:tab w:val="num" w:pos="-31680"/>
        </w:tabs>
        <w:ind w:left="0" w:hanging="72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-31680"/>
        </w:tabs>
        <w:ind w:left="720" w:hanging="720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16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-31680"/>
        </w:tabs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6D0B11B1"/>
    <w:multiLevelType w:val="hybridMultilevel"/>
    <w:tmpl w:val="C0D2CE14"/>
    <w:lvl w:ilvl="0" w:tplc="DF987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3C52D4"/>
    <w:multiLevelType w:val="hybridMultilevel"/>
    <w:tmpl w:val="8DEE5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720B2"/>
    <w:multiLevelType w:val="hybridMultilevel"/>
    <w:tmpl w:val="E5D6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F177C"/>
    <w:multiLevelType w:val="multilevel"/>
    <w:tmpl w:val="0D249976"/>
    <w:lvl w:ilvl="0">
      <w:start w:val="1"/>
      <w:numFmt w:val="decimal"/>
      <w:lvlText w:val="%1.0"/>
      <w:lvlJc w:val="left"/>
      <w:pPr>
        <w:tabs>
          <w:tab w:val="num" w:pos="0"/>
        </w:tabs>
        <w:ind w:left="0" w:hanging="72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16" w15:restartNumberingAfterBreak="0">
    <w:nsid w:val="79F85F69"/>
    <w:multiLevelType w:val="hybridMultilevel"/>
    <w:tmpl w:val="14881198"/>
    <w:lvl w:ilvl="0" w:tplc="D47406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3"/>
  </w:num>
  <w:num w:numId="5">
    <w:abstractNumId w:val="0"/>
  </w:num>
  <w:num w:numId="6">
    <w:abstractNumId w:val="5"/>
  </w:num>
  <w:num w:numId="7">
    <w:abstractNumId w:val="12"/>
  </w:num>
  <w:num w:numId="8">
    <w:abstractNumId w:val="16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7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_state_nm" w:val="Active"/>
    <w:docVar w:name="doc_type_cd" w:val="QAC - Q.A. Calibration"/>
    <w:docVar w:name="document_type" w:val="QAM"/>
  </w:docVars>
  <w:rsids>
    <w:rsidRoot w:val="00D13D98"/>
    <w:rsid w:val="00001088"/>
    <w:rsid w:val="00002612"/>
    <w:rsid w:val="00003D91"/>
    <w:rsid w:val="00015483"/>
    <w:rsid w:val="00015EEF"/>
    <w:rsid w:val="0001727C"/>
    <w:rsid w:val="00025445"/>
    <w:rsid w:val="000348D7"/>
    <w:rsid w:val="00046FC6"/>
    <w:rsid w:val="00061DDA"/>
    <w:rsid w:val="00066B87"/>
    <w:rsid w:val="000936EE"/>
    <w:rsid w:val="00094ECB"/>
    <w:rsid w:val="000953A1"/>
    <w:rsid w:val="000C0C02"/>
    <w:rsid w:val="000E5DB7"/>
    <w:rsid w:val="000F4293"/>
    <w:rsid w:val="001165AF"/>
    <w:rsid w:val="001167AF"/>
    <w:rsid w:val="00120C27"/>
    <w:rsid w:val="001532A2"/>
    <w:rsid w:val="00165B4D"/>
    <w:rsid w:val="001828B2"/>
    <w:rsid w:val="001B681B"/>
    <w:rsid w:val="001C7703"/>
    <w:rsid w:val="001D6DF2"/>
    <w:rsid w:val="001F0E75"/>
    <w:rsid w:val="002075B5"/>
    <w:rsid w:val="00216BA1"/>
    <w:rsid w:val="002256A5"/>
    <w:rsid w:val="002270E3"/>
    <w:rsid w:val="002322A5"/>
    <w:rsid w:val="0023551C"/>
    <w:rsid w:val="00246E18"/>
    <w:rsid w:val="0025326C"/>
    <w:rsid w:val="00254FEB"/>
    <w:rsid w:val="00260519"/>
    <w:rsid w:val="002853CC"/>
    <w:rsid w:val="00292985"/>
    <w:rsid w:val="002C43BB"/>
    <w:rsid w:val="002C587E"/>
    <w:rsid w:val="002D78DF"/>
    <w:rsid w:val="002D7C7E"/>
    <w:rsid w:val="002E7CDC"/>
    <w:rsid w:val="003027A0"/>
    <w:rsid w:val="003053AD"/>
    <w:rsid w:val="00313589"/>
    <w:rsid w:val="00326182"/>
    <w:rsid w:val="00326FCA"/>
    <w:rsid w:val="00327940"/>
    <w:rsid w:val="00331706"/>
    <w:rsid w:val="00333944"/>
    <w:rsid w:val="00335EFF"/>
    <w:rsid w:val="00337D07"/>
    <w:rsid w:val="00352E60"/>
    <w:rsid w:val="003564A7"/>
    <w:rsid w:val="00361BA1"/>
    <w:rsid w:val="003637EF"/>
    <w:rsid w:val="00370D2A"/>
    <w:rsid w:val="00372A91"/>
    <w:rsid w:val="00393948"/>
    <w:rsid w:val="0039750A"/>
    <w:rsid w:val="003A659A"/>
    <w:rsid w:val="003B40F2"/>
    <w:rsid w:val="003B5E8B"/>
    <w:rsid w:val="003D52CD"/>
    <w:rsid w:val="003F5EF8"/>
    <w:rsid w:val="00401FB0"/>
    <w:rsid w:val="00413A19"/>
    <w:rsid w:val="00421B54"/>
    <w:rsid w:val="004322F7"/>
    <w:rsid w:val="004406B0"/>
    <w:rsid w:val="00455BBB"/>
    <w:rsid w:val="00457717"/>
    <w:rsid w:val="00460C9C"/>
    <w:rsid w:val="00461F3E"/>
    <w:rsid w:val="00464E96"/>
    <w:rsid w:val="00477EFE"/>
    <w:rsid w:val="004825FC"/>
    <w:rsid w:val="004915D2"/>
    <w:rsid w:val="004A2FE1"/>
    <w:rsid w:val="004A461C"/>
    <w:rsid w:val="004B0EBB"/>
    <w:rsid w:val="004B594C"/>
    <w:rsid w:val="004C58D8"/>
    <w:rsid w:val="004D672D"/>
    <w:rsid w:val="004E1544"/>
    <w:rsid w:val="004E75EE"/>
    <w:rsid w:val="00511D1A"/>
    <w:rsid w:val="005151EE"/>
    <w:rsid w:val="00533435"/>
    <w:rsid w:val="00533A28"/>
    <w:rsid w:val="0053498C"/>
    <w:rsid w:val="00577319"/>
    <w:rsid w:val="00591B44"/>
    <w:rsid w:val="005A6438"/>
    <w:rsid w:val="005B2192"/>
    <w:rsid w:val="005C0996"/>
    <w:rsid w:val="005C0C3D"/>
    <w:rsid w:val="005C2876"/>
    <w:rsid w:val="005C72F7"/>
    <w:rsid w:val="005E2680"/>
    <w:rsid w:val="005F3C65"/>
    <w:rsid w:val="005F4865"/>
    <w:rsid w:val="00603D61"/>
    <w:rsid w:val="0062064E"/>
    <w:rsid w:val="0062559A"/>
    <w:rsid w:val="00640317"/>
    <w:rsid w:val="00655D80"/>
    <w:rsid w:val="0065620D"/>
    <w:rsid w:val="00657AA6"/>
    <w:rsid w:val="00661220"/>
    <w:rsid w:val="00671107"/>
    <w:rsid w:val="00676051"/>
    <w:rsid w:val="00677F38"/>
    <w:rsid w:val="00684920"/>
    <w:rsid w:val="00690025"/>
    <w:rsid w:val="006C2DCF"/>
    <w:rsid w:val="006C5C5C"/>
    <w:rsid w:val="006D3144"/>
    <w:rsid w:val="006E21F8"/>
    <w:rsid w:val="006F4AD8"/>
    <w:rsid w:val="0070634F"/>
    <w:rsid w:val="0072074C"/>
    <w:rsid w:val="00766812"/>
    <w:rsid w:val="007737D1"/>
    <w:rsid w:val="00773F9D"/>
    <w:rsid w:val="0078048F"/>
    <w:rsid w:val="00783887"/>
    <w:rsid w:val="00785BB5"/>
    <w:rsid w:val="007862D7"/>
    <w:rsid w:val="00792DCB"/>
    <w:rsid w:val="0079638A"/>
    <w:rsid w:val="007A69D2"/>
    <w:rsid w:val="007B3EE8"/>
    <w:rsid w:val="007B5AFC"/>
    <w:rsid w:val="007B7249"/>
    <w:rsid w:val="007D4928"/>
    <w:rsid w:val="007F1F5B"/>
    <w:rsid w:val="007F3A54"/>
    <w:rsid w:val="007F4FA1"/>
    <w:rsid w:val="008058D2"/>
    <w:rsid w:val="008126D0"/>
    <w:rsid w:val="00816214"/>
    <w:rsid w:val="0082047D"/>
    <w:rsid w:val="0084556B"/>
    <w:rsid w:val="00852D4F"/>
    <w:rsid w:val="00854806"/>
    <w:rsid w:val="0087799F"/>
    <w:rsid w:val="0089561C"/>
    <w:rsid w:val="008B685C"/>
    <w:rsid w:val="008B7F37"/>
    <w:rsid w:val="008C72D3"/>
    <w:rsid w:val="008D341D"/>
    <w:rsid w:val="008E0B72"/>
    <w:rsid w:val="008E525C"/>
    <w:rsid w:val="00902068"/>
    <w:rsid w:val="00903785"/>
    <w:rsid w:val="00911BCC"/>
    <w:rsid w:val="00923B52"/>
    <w:rsid w:val="00930C1C"/>
    <w:rsid w:val="00930DD6"/>
    <w:rsid w:val="00933FCD"/>
    <w:rsid w:val="00956933"/>
    <w:rsid w:val="00963C51"/>
    <w:rsid w:val="00966A1F"/>
    <w:rsid w:val="0097221D"/>
    <w:rsid w:val="00975EB7"/>
    <w:rsid w:val="009959D4"/>
    <w:rsid w:val="009B1BAA"/>
    <w:rsid w:val="009B31A1"/>
    <w:rsid w:val="009C7761"/>
    <w:rsid w:val="009E554D"/>
    <w:rsid w:val="009F1824"/>
    <w:rsid w:val="00A006A6"/>
    <w:rsid w:val="00A13597"/>
    <w:rsid w:val="00A140AB"/>
    <w:rsid w:val="00A201C4"/>
    <w:rsid w:val="00A22860"/>
    <w:rsid w:val="00A3142A"/>
    <w:rsid w:val="00A40A3B"/>
    <w:rsid w:val="00A50D76"/>
    <w:rsid w:val="00A51272"/>
    <w:rsid w:val="00A60679"/>
    <w:rsid w:val="00A8275D"/>
    <w:rsid w:val="00A827A2"/>
    <w:rsid w:val="00A916FD"/>
    <w:rsid w:val="00A965AE"/>
    <w:rsid w:val="00A97F6C"/>
    <w:rsid w:val="00AA2344"/>
    <w:rsid w:val="00AA32AE"/>
    <w:rsid w:val="00AB5516"/>
    <w:rsid w:val="00AC6C9B"/>
    <w:rsid w:val="00AD1376"/>
    <w:rsid w:val="00AD417C"/>
    <w:rsid w:val="00AD5DC7"/>
    <w:rsid w:val="00AD6466"/>
    <w:rsid w:val="00AD679D"/>
    <w:rsid w:val="00AE046C"/>
    <w:rsid w:val="00AE2733"/>
    <w:rsid w:val="00AE7E98"/>
    <w:rsid w:val="00AF026F"/>
    <w:rsid w:val="00AF0801"/>
    <w:rsid w:val="00AF1092"/>
    <w:rsid w:val="00B04C12"/>
    <w:rsid w:val="00B05A6F"/>
    <w:rsid w:val="00B114C5"/>
    <w:rsid w:val="00B213A2"/>
    <w:rsid w:val="00B402C9"/>
    <w:rsid w:val="00B506DB"/>
    <w:rsid w:val="00B65D95"/>
    <w:rsid w:val="00B72B28"/>
    <w:rsid w:val="00B841F1"/>
    <w:rsid w:val="00BD0FFB"/>
    <w:rsid w:val="00BD50FC"/>
    <w:rsid w:val="00BE1736"/>
    <w:rsid w:val="00BE63CA"/>
    <w:rsid w:val="00C0388F"/>
    <w:rsid w:val="00C05062"/>
    <w:rsid w:val="00C32B0D"/>
    <w:rsid w:val="00C4338C"/>
    <w:rsid w:val="00C56406"/>
    <w:rsid w:val="00C6179B"/>
    <w:rsid w:val="00C7205C"/>
    <w:rsid w:val="00C721DE"/>
    <w:rsid w:val="00C9007D"/>
    <w:rsid w:val="00CA1CE3"/>
    <w:rsid w:val="00CB2D26"/>
    <w:rsid w:val="00CB4580"/>
    <w:rsid w:val="00CF4E8B"/>
    <w:rsid w:val="00CF7707"/>
    <w:rsid w:val="00D11790"/>
    <w:rsid w:val="00D13D4F"/>
    <w:rsid w:val="00D13D98"/>
    <w:rsid w:val="00D21F12"/>
    <w:rsid w:val="00D2410A"/>
    <w:rsid w:val="00D244C7"/>
    <w:rsid w:val="00D245F1"/>
    <w:rsid w:val="00D34A4A"/>
    <w:rsid w:val="00D470C8"/>
    <w:rsid w:val="00D52292"/>
    <w:rsid w:val="00D62B32"/>
    <w:rsid w:val="00D655BC"/>
    <w:rsid w:val="00D6632E"/>
    <w:rsid w:val="00D66BBB"/>
    <w:rsid w:val="00D74CE4"/>
    <w:rsid w:val="00D76768"/>
    <w:rsid w:val="00D77FF7"/>
    <w:rsid w:val="00D829B2"/>
    <w:rsid w:val="00D8449C"/>
    <w:rsid w:val="00D861EF"/>
    <w:rsid w:val="00D87EC0"/>
    <w:rsid w:val="00DB2237"/>
    <w:rsid w:val="00DC164C"/>
    <w:rsid w:val="00DD08A5"/>
    <w:rsid w:val="00DD2A49"/>
    <w:rsid w:val="00DD7271"/>
    <w:rsid w:val="00DE04F5"/>
    <w:rsid w:val="00DE2605"/>
    <w:rsid w:val="00DE266D"/>
    <w:rsid w:val="00DF1E8C"/>
    <w:rsid w:val="00DF364A"/>
    <w:rsid w:val="00DF4C7D"/>
    <w:rsid w:val="00DF675E"/>
    <w:rsid w:val="00E12C1E"/>
    <w:rsid w:val="00E21E51"/>
    <w:rsid w:val="00E31F02"/>
    <w:rsid w:val="00E32EBE"/>
    <w:rsid w:val="00E44076"/>
    <w:rsid w:val="00E469ED"/>
    <w:rsid w:val="00E53233"/>
    <w:rsid w:val="00E54EE5"/>
    <w:rsid w:val="00E61DF0"/>
    <w:rsid w:val="00E71146"/>
    <w:rsid w:val="00E732D1"/>
    <w:rsid w:val="00E74FC8"/>
    <w:rsid w:val="00E8077D"/>
    <w:rsid w:val="00EA05FA"/>
    <w:rsid w:val="00EA584C"/>
    <w:rsid w:val="00EB37D4"/>
    <w:rsid w:val="00ED0769"/>
    <w:rsid w:val="00ED0FB9"/>
    <w:rsid w:val="00ED790F"/>
    <w:rsid w:val="00EE5B4E"/>
    <w:rsid w:val="00EF7BCF"/>
    <w:rsid w:val="00F02B6D"/>
    <w:rsid w:val="00F35C16"/>
    <w:rsid w:val="00F44945"/>
    <w:rsid w:val="00F5296B"/>
    <w:rsid w:val="00F66176"/>
    <w:rsid w:val="00F70FB6"/>
    <w:rsid w:val="00F776A5"/>
    <w:rsid w:val="00F92E69"/>
    <w:rsid w:val="00FA0F29"/>
    <w:rsid w:val="00FC39DB"/>
    <w:rsid w:val="00FE63FE"/>
    <w:rsid w:val="00FE77EA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1D81B8-36D3-421E-AABE-D57A7B41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78DF"/>
  </w:style>
  <w:style w:type="paragraph" w:styleId="Heading1">
    <w:name w:val="heading 1"/>
    <w:basedOn w:val="Normal"/>
    <w:next w:val="Normal"/>
    <w:qFormat/>
    <w:rsid w:val="00AD5D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727C"/>
    <w:pPr>
      <w:spacing w:before="60" w:after="60"/>
    </w:pPr>
    <w:rPr>
      <w:rFonts w:ascii="Arial" w:hAnsi="Arial"/>
    </w:rPr>
  </w:style>
  <w:style w:type="paragraph" w:customStyle="1" w:styleId="Proceduretitle">
    <w:name w:val="Procedure title"/>
    <w:basedOn w:val="Header"/>
    <w:rsid w:val="0001727C"/>
    <w:rPr>
      <w:b/>
      <w:sz w:val="24"/>
    </w:rPr>
  </w:style>
  <w:style w:type="paragraph" w:customStyle="1" w:styleId="qualframe">
    <w:name w:val="qualframe"/>
    <w:basedOn w:val="Normal"/>
    <w:rsid w:val="0001727C"/>
    <w:pPr>
      <w:framePr w:w="1516" w:h="1334" w:hRule="exact" w:hSpace="180" w:wrap="around" w:vAnchor="page" w:hAnchor="page" w:x="1403" w:y="819"/>
      <w:spacing w:before="20"/>
      <w:jc w:val="center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01727C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C05062"/>
    <w:pPr>
      <w:spacing w:before="120" w:after="120"/>
    </w:pPr>
    <w:rPr>
      <w:sz w:val="22"/>
    </w:rPr>
  </w:style>
  <w:style w:type="paragraph" w:styleId="BalloonText">
    <w:name w:val="Balloon Text"/>
    <w:basedOn w:val="Normal"/>
    <w:semiHidden/>
    <w:rsid w:val="008126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561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0D2A"/>
  </w:style>
  <w:style w:type="paragraph" w:styleId="ListParagraph">
    <w:name w:val="List Paragraph"/>
    <w:basedOn w:val="Normal"/>
    <w:uiPriority w:val="34"/>
    <w:qFormat/>
    <w:rsid w:val="00D5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ina.waldenberger-azar@expeditor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p4550\Application%20Data\Microsoft\Word\STARTUP\SO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ED1DF73686A44B7E5CB7B30FA54A2" ma:contentTypeVersion="0" ma:contentTypeDescription="Create a new document." ma:contentTypeScope="" ma:versionID="397d3c7b79a3f21e0d801f6ae452d1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98C7F8-752B-4F08-9D5D-1B6A709050C1}"/>
</file>

<file path=customXml/itemProps2.xml><?xml version="1.0" encoding="utf-8"?>
<ds:datastoreItem xmlns:ds="http://schemas.openxmlformats.org/officeDocument/2006/customXml" ds:itemID="{EE13791C-934A-4DFC-A81D-EB9CE1940F6B}"/>
</file>

<file path=customXml/itemProps3.xml><?xml version="1.0" encoding="utf-8"?>
<ds:datastoreItem xmlns:ds="http://schemas.openxmlformats.org/officeDocument/2006/customXml" ds:itemID="{9C51BB5D-5565-4CE5-8CB9-1B00BDAA94A6}"/>
</file>

<file path=customXml/itemProps4.xml><?xml version="1.0" encoding="utf-8"?>
<ds:datastoreItem xmlns:ds="http://schemas.openxmlformats.org/officeDocument/2006/customXml" ds:itemID="{7756CA24-1747-4E4F-A7F9-E5AFED113155}"/>
</file>

<file path=docProps/app.xml><?xml version="1.0" encoding="utf-8"?>
<Properties xmlns="http://schemas.openxmlformats.org/officeDocument/2006/extended-properties" xmlns:vt="http://schemas.openxmlformats.org/officeDocument/2006/docPropsVTypes">
  <Template>SOP.dot</Template>
  <TotalTime>0</TotalTime>
  <Pages>3</Pages>
  <Words>433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Amway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Kaylee Betzinger</cp:lastModifiedBy>
  <cp:revision>2</cp:revision>
  <cp:lastPrinted>2014-01-06T14:28:00Z</cp:lastPrinted>
  <dcterms:created xsi:type="dcterms:W3CDTF">2017-07-19T14:51:00Z</dcterms:created>
  <dcterms:modified xsi:type="dcterms:W3CDTF">2017-07-19T14:51:00Z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0x0101006E6ED1DF73686A44B7E5CB7B30FA54A2</vt:lpwstr>
  </property>
</Properties>
</file>